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F3864"/>
          <w:sz w:val="52"/>
          <w:szCs w:val="52"/>
        </w:rPr>
        <w:t xml:space="preserve">PAULO VALADARES</w:t>
      </w:r>
    </w:p>
    <w:p>
      <w:pPr>
        <w:spacing w:after="30"/>
        <w:jc w:val="center"/>
      </w:pPr>
      <w:r>
        <w:rPr>
          <w:color w:val="595959"/>
          <w:sz w:val="20"/>
          <w:szCs w:val="20"/>
        </w:rPr>
        <w:t xml:space="preserve">Toronto, ON  |  (416) 833-5315  |  paulo@dnatechnology.ca  |  linkedin.com/in/paulovaladares</w:t>
      </w:r>
    </w:p>
    <w:p>
      <w:pPr>
        <w:spacing w:after="40"/>
        <w:jc w:val="center"/>
      </w:pPr>
      <w:r>
        <w:rPr>
          <w:color w:val="595959"/>
          <w:sz w:val="20"/>
          <w:szCs w:val="20"/>
        </w:rPr>
        <w:t xml:space="preserve">Interactive CV: </w:t>
      </w:r>
      <w:hyperlink w:history="1" r:id="rIdLink1">
        <w:r>
          <w:rPr>
            <w:color w:val="1F3864"/>
            <w:sz w:val="20"/>
            <w:szCs w:val="20"/>
            <w:u w:val="single"/>
          </w:rPr>
          <w:t xml:space="preserve">paulovaladares.web.app</w:t>
        </w:r>
      </w:hyperlink>
      <w:r>
        <w:rPr>
          <w:color w:val="595959"/>
          <w:sz w:val="20"/>
          <w:szCs w:val="20"/>
        </w:rPr>
        <w:t xml:space="preserve">  |  Company: </w:t>
      </w:r>
      <w:hyperlink w:history="1" r:id="rIdLink2">
        <w:r>
          <w:rPr>
            <w:color w:val="1F3864"/>
            <w:sz w:val="20"/>
            <w:szCs w:val="20"/>
            <w:u w:val="single"/>
          </w:rPr>
          <w:t xml:space="preserve">dnatechnology.ca</w:t>
        </w:r>
      </w:hyperlink>
      <w:r>
        <w:rPr>
          <w:color w:val="595959"/>
          <w:sz w:val="20"/>
          <w:szCs w:val="20"/>
        </w:rPr>
        <w:t xml:space="preserve">  |  IAM Initiative: </w:t>
      </w:r>
      <w:hyperlink w:history="1" r:id="rIdLink3">
        <w:r>
          <w:rPr>
            <w:color w:val="1F3864"/>
            <w:sz w:val="20"/>
            <w:szCs w:val="20"/>
            <w:u w:val="single"/>
          </w:rPr>
          <w:t xml:space="preserve">identityatcore.org</w:t>
        </w:r>
      </w:hyperlink>
    </w:p>
    <w:p>
      <w:pPr>
        <w:spacing w:after="120"/>
        <w:jc w:val="center"/>
      </w:pPr>
      <w:r>
        <w:rPr>
          <w:b/>
          <w:bCs/>
          <w:color w:val="1F3864"/>
          <w:sz w:val="22"/>
          <w:szCs w:val="22"/>
        </w:rPr>
        <w:t xml:space="preserve">Engineering Leadership  •  Security and Identity Platforms  •  Automation and Cloud  •  Product Innovation</w:t>
      </w:r>
    </w:p>
    <w:p>
      <w:pPr>
        <w:pBdr>
          <w:bottom w:val="single" w:color="1F3864" w:sz="8" w:space="2"/>
        </w:pBdr>
        <w:spacing w:after="50" w:before="100"/>
      </w:pPr>
      <w:r>
        <w:rPr>
          <w:b/>
          <w:bCs/>
          <w:color w:val="1F3864"/>
          <w:sz w:val="24"/>
          <w:szCs w:val="24"/>
        </w:rPr>
        <w:t xml:space="preserve">SKILLS AND KNOWLEDGE</w:t>
      </w:r>
    </w:p>
    <w:tbl>
      <w:tblPr>
        <w:tblW w:type="dxa" w:w="10512"/>
        <w:tblBorders>
          <w:top w:val="none" w:color="FFFFFF" w:sz="0"/>
          <w:left w:val="none" w:color="FFFFFF" w:sz="0"/>
          <w:bottom w:val="none" w:color="FFFFFF" w:sz="0"/>
          <w:right w:val="none" w:color="FFFFFF" w:sz="0"/>
          <w:insideH w:val="none" w:color="FFFFFF" w:sz="0"/>
          <w:insideV w:val="none" w:color="FFFFFF" w:sz="0"/>
        </w:tblBorders>
      </w:tblPr>
      <w:tblGrid>
        <w:gridCol w:w="5256"/>
        <w:gridCol w:w="5256"/>
      </w:tblGrid>
      <w:tr>
        <w:tc>
          <w:tcPr>
            <w:tcW w:type="dxa" w:w="5256"/>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pPr>
            <w:r>
              <w:rPr>
                <w:b/>
                <w:bCs/>
                <w:color w:val="333333"/>
                <w:sz w:val="21"/>
                <w:szCs w:val="21"/>
              </w:rPr>
              <w:t xml:space="preserve">Security and Identity Platforms</w:t>
            </w:r>
          </w:p>
          <w:p>
            <w:pPr>
              <w:pStyle w:val="ListParagraph"/>
              <w:numPr>
                <w:ilvl w:val="0"/>
                <w:numId w:val="2"/>
              </w:numPr>
              <w:spacing w:after="30"/>
            </w:pPr>
            <w:r>
              <w:rPr>
                <w:sz w:val="20"/>
                <w:szCs w:val="20"/>
              </w:rPr>
              <w:t xml:space="preserve">PAM (CyberArk SaaS, SIA, BeyondTrust, PMP)</w:t>
            </w:r>
          </w:p>
          <w:p>
            <w:pPr>
              <w:pStyle w:val="ListParagraph"/>
              <w:numPr>
                <w:ilvl w:val="0"/>
                <w:numId w:val="2"/>
              </w:numPr>
              <w:spacing w:after="30"/>
            </w:pPr>
            <w:r>
              <w:rPr>
                <w:sz w:val="20"/>
                <w:szCs w:val="20"/>
              </w:rPr>
              <w:t xml:space="preserve">IGA (SailPoint), lifecycle and access reviews</w:t>
            </w:r>
          </w:p>
          <w:p>
            <w:pPr>
              <w:pStyle w:val="ListParagraph"/>
              <w:numPr>
                <w:ilvl w:val="0"/>
                <w:numId w:val="2"/>
              </w:numPr>
              <w:spacing w:after="30"/>
            </w:pPr>
            <w:r>
              <w:rPr>
                <w:sz w:val="20"/>
                <w:szCs w:val="20"/>
              </w:rPr>
              <w:t xml:space="preserve">Privileged Identity Management, JIT and Zero Standing Privilege</w:t>
            </w:r>
          </w:p>
          <w:p>
            <w:pPr>
              <w:pStyle w:val="ListParagraph"/>
              <w:numPr>
                <w:ilvl w:val="0"/>
                <w:numId w:val="2"/>
              </w:numPr>
              <w:spacing w:after="30"/>
            </w:pPr>
            <w:r>
              <w:rPr>
                <w:sz w:val="20"/>
                <w:szCs w:val="20"/>
              </w:rPr>
              <w:t xml:space="preserve">Active Directory and Entra ID architecture, tiering and hardening</w:t>
            </w:r>
          </w:p>
          <w:p>
            <w:pPr>
              <w:pStyle w:val="ListParagraph"/>
              <w:numPr>
                <w:ilvl w:val="0"/>
                <w:numId w:val="2"/>
              </w:numPr>
              <w:spacing w:after="30"/>
            </w:pPr>
            <w:r>
              <w:rPr>
                <w:sz w:val="20"/>
                <w:szCs w:val="20"/>
              </w:rPr>
              <w:t xml:space="preserve">MFA (Microsoft, Okta, RSA), passkeys and Conditional Access</w:t>
            </w:r>
          </w:p>
          <w:p>
            <w:pPr>
              <w:pStyle w:val="ListParagraph"/>
              <w:numPr>
                <w:ilvl w:val="0"/>
                <w:numId w:val="2"/>
              </w:numPr>
              <w:spacing w:after="30"/>
            </w:pPr>
            <w:r>
              <w:rPr>
                <w:sz w:val="20"/>
                <w:szCs w:val="20"/>
              </w:rPr>
              <w:t xml:space="preserve">Certificate lifecycle management (Venafi) and post-quantum readiness</w:t>
            </w:r>
          </w:p>
          <w:p>
            <w:pPr>
              <w:pStyle w:val="ListParagraph"/>
              <w:numPr>
                <w:ilvl w:val="0"/>
                <w:numId w:val="2"/>
              </w:numPr>
              <w:spacing w:after="30"/>
            </w:pPr>
            <w:r>
              <w:rPr>
                <w:sz w:val="20"/>
                <w:szCs w:val="20"/>
              </w:rPr>
              <w:t xml:space="preserve">Endpoint and detection (CrowdStrike, Defender ATP)</w:t>
            </w:r>
          </w:p>
          <w:p>
            <w:pPr>
              <w:pStyle w:val="ListParagraph"/>
              <w:numPr>
                <w:ilvl w:val="0"/>
                <w:numId w:val="2"/>
              </w:numPr>
              <w:spacing w:after="30"/>
            </w:pPr>
            <w:r>
              <w:rPr>
                <w:sz w:val="20"/>
                <w:szCs w:val="20"/>
              </w:rPr>
              <w:t xml:space="preserve">SIEM and detection engineering (Splunk, QRadar, SumoLogic)</w:t>
            </w:r>
          </w:p>
          <w:p>
            <w:pPr>
              <w:pStyle w:val="ListParagraph"/>
              <w:numPr>
                <w:ilvl w:val="0"/>
                <w:numId w:val="2"/>
              </w:numPr>
              <w:spacing w:after="30"/>
            </w:pPr>
            <w:r>
              <w:rPr>
                <w:sz w:val="20"/>
                <w:szCs w:val="20"/>
              </w:rPr>
              <w:t xml:space="preserve">Threat modelling, secure SDLC and architecture review</w:t>
            </w:r>
          </w:p>
        </w:tc>
        <w:tc>
          <w:tcPr>
            <w:tcW w:type="dxa" w:w="5256"/>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pPr>
            <w:r>
              <w:rPr>
                <w:b/>
                <w:bCs/>
                <w:color w:val="333333"/>
                <w:sz w:val="21"/>
                <w:szCs w:val="21"/>
              </w:rPr>
              <w:t xml:space="preserve">Engineering, Cloud and Delivery</w:t>
            </w:r>
          </w:p>
          <w:p>
            <w:pPr>
              <w:pStyle w:val="ListParagraph"/>
              <w:numPr>
                <w:ilvl w:val="0"/>
                <w:numId w:val="2"/>
              </w:numPr>
              <w:spacing w:after="30"/>
            </w:pPr>
            <w:r>
              <w:rPr>
                <w:sz w:val="20"/>
                <w:szCs w:val="20"/>
              </w:rPr>
              <w:t xml:space="preserve">Azure, Azure Automation, Microsoft Graph, Google Cloud and Firebase</w:t>
            </w:r>
          </w:p>
          <w:p>
            <w:pPr>
              <w:pStyle w:val="ListParagraph"/>
              <w:numPr>
                <w:ilvl w:val="0"/>
                <w:numId w:val="2"/>
              </w:numPr>
              <w:spacing w:after="30"/>
            </w:pPr>
            <w:r>
              <w:rPr>
                <w:sz w:val="20"/>
                <w:szCs w:val="20"/>
              </w:rPr>
              <w:t xml:space="preserve">PowerShell, Python, TypeScript and Node.js</w:t>
            </w:r>
          </w:p>
          <w:p>
            <w:pPr>
              <w:pStyle w:val="ListParagraph"/>
              <w:numPr>
                <w:ilvl w:val="0"/>
                <w:numId w:val="2"/>
              </w:numPr>
              <w:spacing w:after="30"/>
            </w:pPr>
            <w:r>
              <w:rPr>
                <w:sz w:val="20"/>
                <w:szCs w:val="20"/>
              </w:rPr>
              <w:t xml:space="preserve">Next.js, React, Express and REST API design</w:t>
            </w:r>
          </w:p>
          <w:p>
            <w:pPr>
              <w:pStyle w:val="ListParagraph"/>
              <w:numPr>
                <w:ilvl w:val="0"/>
                <w:numId w:val="2"/>
              </w:numPr>
              <w:spacing w:after="30"/>
            </w:pPr>
            <w:r>
              <w:rPr>
                <w:sz w:val="20"/>
                <w:szCs w:val="20"/>
              </w:rPr>
              <w:t xml:space="preserve">PostgreSQL, Supabase Row-Level Security, Prisma, Firestore</w:t>
            </w:r>
          </w:p>
          <w:p>
            <w:pPr>
              <w:pStyle w:val="ListParagraph"/>
              <w:numPr>
                <w:ilvl w:val="0"/>
                <w:numId w:val="2"/>
              </w:numPr>
              <w:spacing w:after="30"/>
            </w:pPr>
            <w:r>
              <w:rPr>
                <w:sz w:val="20"/>
                <w:szCs w:val="20"/>
              </w:rPr>
              <w:t xml:space="preserve">OAuth 2.0, OIDC, SAML, SCIM, WebAuthn and passkeys</w:t>
            </w:r>
          </w:p>
          <w:p>
            <w:pPr>
              <w:pStyle w:val="ListParagraph"/>
              <w:numPr>
                <w:ilvl w:val="0"/>
                <w:numId w:val="2"/>
              </w:numPr>
              <w:spacing w:after="30"/>
            </w:pPr>
            <w:r>
              <w:rPr>
                <w:sz w:val="20"/>
                <w:szCs w:val="20"/>
              </w:rPr>
              <w:t xml:space="preserve">CI/CD, infrastructure as code and release engineering</w:t>
            </w:r>
          </w:p>
          <w:p>
            <w:pPr>
              <w:pStyle w:val="ListParagraph"/>
              <w:numPr>
                <w:ilvl w:val="0"/>
                <w:numId w:val="2"/>
              </w:numPr>
              <w:spacing w:after="30"/>
            </w:pPr>
            <w:r>
              <w:rPr>
                <w:sz w:val="20"/>
                <w:szCs w:val="20"/>
              </w:rPr>
              <w:t xml:space="preserve">Content-Security-Policy, HSTS and application hardening</w:t>
            </w:r>
          </w:p>
          <w:p>
            <w:pPr>
              <w:pStyle w:val="ListParagraph"/>
              <w:numPr>
                <w:ilvl w:val="0"/>
                <w:numId w:val="2"/>
              </w:numPr>
              <w:spacing w:after="30"/>
            </w:pPr>
            <w:r>
              <w:rPr>
                <w:sz w:val="20"/>
                <w:szCs w:val="20"/>
              </w:rPr>
              <w:t xml:space="preserve">Roadmap ownership, technical due diligence and agile delivery</w:t>
            </w:r>
          </w:p>
          <w:p>
            <w:pPr>
              <w:pStyle w:val="ListParagraph"/>
              <w:numPr>
                <w:ilvl w:val="0"/>
                <w:numId w:val="2"/>
              </w:numPr>
              <w:spacing w:after="30"/>
            </w:pPr>
            <w:r>
              <w:rPr>
                <w:sz w:val="20"/>
                <w:szCs w:val="20"/>
              </w:rPr>
              <w:t xml:space="preserve">Vendor selection, contract negotiation and budget ownership</w:t>
            </w:r>
          </w:p>
        </w:tc>
      </w:tr>
      <w:tr>
        <w:tc>
          <w:tcPr>
            <w:tcW w:type="dxa" w:w="5256"/>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pPr>
            <w:r>
              <w:rPr>
                <w:b/>
                <w:bCs/>
                <w:color w:val="333333"/>
                <w:sz w:val="21"/>
                <w:szCs w:val="21"/>
              </w:rPr>
              <w:t xml:space="preserve">Years of Experience in Core Functions</w:t>
            </w:r>
          </w:p>
          <w:p>
            <w:pPr>
              <w:pStyle w:val="ListParagraph"/>
              <w:numPr>
                <w:ilvl w:val="0"/>
                <w:numId w:val="2"/>
              </w:numPr>
              <w:spacing w:after="30"/>
            </w:pPr>
            <w:r>
              <w:rPr>
                <w:sz w:val="20"/>
                <w:szCs w:val="20"/>
              </w:rPr>
              <w:t xml:space="preserve">Active Directory: 9 years</w:t>
            </w:r>
          </w:p>
          <w:p>
            <w:pPr>
              <w:pStyle w:val="ListParagraph"/>
              <w:numPr>
                <w:ilvl w:val="0"/>
                <w:numId w:val="2"/>
              </w:numPr>
              <w:spacing w:after="30"/>
            </w:pPr>
            <w:r>
              <w:rPr>
                <w:sz w:val="20"/>
                <w:szCs w:val="20"/>
              </w:rPr>
              <w:t xml:space="preserve">Microsoft 365: 9 years</w:t>
            </w:r>
          </w:p>
          <w:p>
            <w:pPr>
              <w:pStyle w:val="ListParagraph"/>
              <w:numPr>
                <w:ilvl w:val="0"/>
                <w:numId w:val="2"/>
              </w:numPr>
              <w:spacing w:after="30"/>
            </w:pPr>
            <w:r>
              <w:rPr>
                <w:sz w:val="20"/>
                <w:szCs w:val="20"/>
              </w:rPr>
              <w:t xml:space="preserve">Azure AD (Entra ID): 8 years</w:t>
            </w:r>
          </w:p>
          <w:p>
            <w:pPr>
              <w:pStyle w:val="ListParagraph"/>
              <w:numPr>
                <w:ilvl w:val="0"/>
                <w:numId w:val="2"/>
              </w:numPr>
              <w:spacing w:after="30"/>
            </w:pPr>
            <w:r>
              <w:rPr>
                <w:sz w:val="20"/>
                <w:szCs w:val="20"/>
              </w:rPr>
              <w:t xml:space="preserve">PowerShell: 9 years</w:t>
            </w:r>
          </w:p>
          <w:p>
            <w:pPr>
              <w:pStyle w:val="ListParagraph"/>
              <w:numPr>
                <w:ilvl w:val="0"/>
                <w:numId w:val="2"/>
              </w:numPr>
              <w:spacing w:after="30"/>
            </w:pPr>
            <w:r>
              <w:rPr>
                <w:sz w:val="20"/>
                <w:szCs w:val="20"/>
              </w:rPr>
              <w:t xml:space="preserve">Security: 7 years</w:t>
            </w:r>
          </w:p>
          <w:p>
            <w:pPr>
              <w:pStyle w:val="ListParagraph"/>
              <w:numPr>
                <w:ilvl w:val="0"/>
                <w:numId w:val="2"/>
              </w:numPr>
              <w:spacing w:after="30"/>
            </w:pPr>
            <w:r>
              <w:rPr>
                <w:sz w:val="20"/>
                <w:szCs w:val="20"/>
              </w:rPr>
              <w:t xml:space="preserve">Leadership: 6 years</w:t>
            </w:r>
          </w:p>
          <w:p>
            <w:pPr>
              <w:pStyle w:val="ListParagraph"/>
              <w:numPr>
                <w:ilvl w:val="0"/>
                <w:numId w:val="2"/>
              </w:numPr>
              <w:spacing w:after="30"/>
            </w:pPr>
            <w:r>
              <w:rPr>
                <w:sz w:val="20"/>
                <w:szCs w:val="20"/>
              </w:rPr>
              <w:t xml:space="preserve">Software and product engineering: 5 years</w:t>
            </w:r>
          </w:p>
        </w:tc>
        <w:tc>
          <w:tcPr>
            <w:tcW w:type="dxa" w:w="5256"/>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pPr>
            <w:r>
              <w:rPr>
                <w:b/>
                <w:bCs/>
                <w:color w:val="333333"/>
                <w:sz w:val="21"/>
                <w:szCs w:val="21"/>
              </w:rPr>
              <w:t xml:space="preserve">Leadership and Soft Skills</w:t>
            </w:r>
          </w:p>
          <w:p>
            <w:pPr>
              <w:pStyle w:val="ListParagraph"/>
              <w:numPr>
                <w:ilvl w:val="0"/>
                <w:numId w:val="2"/>
              </w:numPr>
              <w:spacing w:after="30"/>
            </w:pPr>
            <w:r>
              <w:rPr>
                <w:sz w:val="20"/>
                <w:szCs w:val="20"/>
              </w:rPr>
              <w:t xml:space="preserve">Builds and retains high performing engineering teams</w:t>
            </w:r>
          </w:p>
          <w:p>
            <w:pPr>
              <w:pStyle w:val="ListParagraph"/>
              <w:numPr>
                <w:ilvl w:val="0"/>
                <w:numId w:val="2"/>
              </w:numPr>
              <w:spacing w:after="30"/>
            </w:pPr>
            <w:r>
              <w:rPr>
                <w:sz w:val="20"/>
                <w:szCs w:val="20"/>
              </w:rPr>
              <w:t xml:space="preserve">Translates security risk into business language for executives</w:t>
            </w:r>
          </w:p>
          <w:p>
            <w:pPr>
              <w:pStyle w:val="ListParagraph"/>
              <w:numPr>
                <w:ilvl w:val="0"/>
                <w:numId w:val="2"/>
              </w:numPr>
              <w:spacing w:after="30"/>
            </w:pPr>
            <w:r>
              <w:rPr>
                <w:sz w:val="20"/>
                <w:szCs w:val="20"/>
              </w:rPr>
              <w:t xml:space="preserve">Strong communication in both English and Portuguese</w:t>
            </w:r>
          </w:p>
          <w:p>
            <w:pPr>
              <w:pStyle w:val="ListParagraph"/>
              <w:numPr>
                <w:ilvl w:val="0"/>
                <w:numId w:val="2"/>
              </w:numPr>
              <w:spacing w:after="30"/>
            </w:pPr>
            <w:r>
              <w:rPr>
                <w:sz w:val="20"/>
                <w:szCs w:val="20"/>
              </w:rPr>
              <w:t xml:space="preserve">Automation first: if it repeats, it becomes code</w:t>
            </w:r>
          </w:p>
          <w:p>
            <w:pPr>
              <w:pStyle w:val="ListParagraph"/>
              <w:numPr>
                <w:ilvl w:val="0"/>
                <w:numId w:val="2"/>
              </w:numPr>
              <w:spacing w:after="30"/>
            </w:pPr>
            <w:r>
              <w:rPr>
                <w:sz w:val="20"/>
                <w:szCs w:val="20"/>
              </w:rPr>
              <w:t xml:space="preserve">Analytical problem solver, highly adaptable to new technology</w:t>
            </w:r>
          </w:p>
          <w:p>
            <w:pPr>
              <w:pStyle w:val="ListParagraph"/>
              <w:numPr>
                <w:ilvl w:val="0"/>
                <w:numId w:val="2"/>
              </w:numPr>
              <w:spacing w:after="30"/>
            </w:pPr>
            <w:r>
              <w:rPr>
                <w:sz w:val="20"/>
                <w:szCs w:val="20"/>
              </w:rPr>
              <w:t xml:space="preserve">Inspires teamwork and drives results through decisive leadership</w:t>
            </w:r>
          </w:p>
        </w:tc>
      </w:tr>
    </w:tbl>
    <w:p>
      <w:pPr>
        <w:pBdr>
          <w:bottom w:val="single" w:color="1F3864" w:sz="8" w:space="2"/>
        </w:pBdr>
        <w:spacing w:after="50" w:before="100"/>
      </w:pPr>
      <w:r>
        <w:rPr>
          <w:b/>
          <w:bCs/>
          <w:color w:val="1F3864"/>
          <w:sz w:val="24"/>
          <w:szCs w:val="24"/>
        </w:rPr>
        <w:t xml:space="preserve">PROFESSIONAL EXPERIENCE</w:t>
      </w:r>
    </w:p>
    <w:p>
      <w:pPr>
        <w:tabs>
          <w:tab w:val="right" w:pos="9026"/>
        </w:tabs>
        <w:spacing w:after="20" w:before="120"/>
      </w:pPr>
      <w:r>
        <w:rPr>
          <w:b/>
          <w:bCs/>
          <w:sz w:val="23"/>
          <w:szCs w:val="23"/>
        </w:rPr>
        <w:t xml:space="preserve">IAM Engineering Manager</w:t>
      </w:r>
      <w:r>
        <w:rPr>
          <w:b/>
          <w:bCs/>
          <w:color w:val="595959"/>
          <w:sz w:val="21"/>
          <w:szCs w:val="21"/>
        </w:rPr>
        <w:t xml:space="preserve">	Apr. 2024 to Present</w:t>
      </w:r>
    </w:p>
    <w:p>
      <w:pPr>
        <w:spacing w:after="50"/>
      </w:pPr>
      <w:r>
        <w:rPr>
          <w:i/>
          <w:iCs/>
          <w:color w:val="595959"/>
          <w:sz w:val="21"/>
          <w:szCs w:val="21"/>
        </w:rPr>
        <w:t xml:space="preserve">Sobeys Inc., Toronto, ON (Hybrid)</w:t>
      </w:r>
    </w:p>
    <w:p>
      <w:pPr>
        <w:spacing w:after="36" w:before="70"/>
      </w:pPr>
      <w:r>
        <w:rPr>
          <w:b/>
          <w:bCs/>
          <w:color w:val="333333"/>
          <w:sz w:val="21"/>
          <w:szCs w:val="21"/>
        </w:rPr>
        <w:t xml:space="preserve">Engineering Leadership and Strategy</w:t>
      </w:r>
    </w:p>
    <w:p>
      <w:pPr>
        <w:pStyle w:val="ListParagraph"/>
        <w:numPr>
          <w:ilvl w:val="0"/>
          <w:numId w:val="2"/>
        </w:numPr>
        <w:spacing w:after="28"/>
        <w:jc w:val="both"/>
      </w:pPr>
      <w:r>
        <w:rPr>
          <w:sz w:val="21"/>
          <w:szCs w:val="21"/>
        </w:rPr>
        <w:t xml:space="preserve">Direct the enterprise identity engineering function covering privileged access, identity governance, Active Directory and Entra ID, and automation, owning the technical roadmap, architecture decisions, vendor strategy and delivery priorities across a retail group serving millions of customers.</w:t>
      </w:r>
    </w:p>
    <w:p>
      <w:pPr>
        <w:pStyle w:val="ListParagraph"/>
        <w:numPr>
          <w:ilvl w:val="0"/>
          <w:numId w:val="2"/>
        </w:numPr>
        <w:spacing w:after="28"/>
        <w:jc w:val="both"/>
      </w:pPr>
      <w:r>
        <w:rPr>
          <w:sz w:val="21"/>
          <w:szCs w:val="21"/>
        </w:rPr>
        <w:t xml:space="preserve">Built the engineering organisation from zero, hiring 12 engineers across four disciplines and leading 3 project managers and a business analyst. Retained 100% of hires while replacing low-performing contractors.</w:t>
      </w:r>
    </w:p>
    <w:p>
      <w:pPr>
        <w:pStyle w:val="ListParagraph"/>
        <w:numPr>
          <w:ilvl w:val="0"/>
          <w:numId w:val="2"/>
        </w:numPr>
        <w:spacing w:after="28"/>
        <w:jc w:val="both"/>
      </w:pPr>
      <w:r>
        <w:rPr>
          <w:sz w:val="21"/>
          <w:szCs w:val="21"/>
        </w:rPr>
        <w:t xml:space="preserve">Set the engineering standard for the group: documented architecture, peer reviewed changes, detailed SOPs, recorded training sessions and shadowing rotations, creating a culture of knowledge transfer inside the team and across departments.</w:t>
      </w:r>
    </w:p>
    <w:p>
      <w:pPr>
        <w:pStyle w:val="ListParagraph"/>
        <w:numPr>
          <w:ilvl w:val="0"/>
          <w:numId w:val="2"/>
        </w:numPr>
        <w:spacing w:after="28"/>
        <w:jc w:val="both"/>
      </w:pPr>
      <w:r>
        <w:rPr>
          <w:sz w:val="21"/>
          <w:szCs w:val="21"/>
        </w:rPr>
        <w:t xml:space="preserve">Report platform performance, delivery status and risk posture to senior leadership, and act as a trusted decision-maker on enterprise initiatives beyond the identity program, including the CIAM migration. Recognized as a top-performing leader in 2024 and 2025.</w:t>
      </w:r>
    </w:p>
    <w:p>
      <w:pPr>
        <w:spacing w:after="36" w:before="70"/>
      </w:pPr>
      <w:r>
        <w:rPr>
          <w:b/>
          <w:bCs/>
          <w:color w:val="333333"/>
          <w:sz w:val="21"/>
          <w:szCs w:val="21"/>
        </w:rPr>
        <w:t xml:space="preserve">Commercial Ownership and Vendor Strategy</w:t>
      </w:r>
    </w:p>
    <w:p>
      <w:pPr>
        <w:pStyle w:val="ListParagraph"/>
        <w:numPr>
          <w:ilvl w:val="0"/>
          <w:numId w:val="2"/>
        </w:numPr>
        <w:spacing w:after="28"/>
        <w:jc w:val="both"/>
      </w:pPr>
      <w:r>
        <w:rPr>
          <w:sz w:val="21"/>
          <w:szCs w:val="21"/>
        </w:rPr>
        <w:t xml:space="preserve">Own the technical and commercial review of multimillion-dollar contracts covering CyberArk licenses and modules and SailPoint IGA, plus multimillion-dollar statements of work with partners such as Deloitte and Accenture. More than $8M in contracts closed.</w:t>
      </w:r>
    </w:p>
    <w:p>
      <w:pPr>
        <w:pStyle w:val="ListParagraph"/>
        <w:numPr>
          <w:ilvl w:val="0"/>
          <w:numId w:val="2"/>
        </w:numPr>
        <w:spacing w:after="28"/>
        <w:jc w:val="both"/>
      </w:pPr>
      <w:r>
        <w:rPr>
          <w:sz w:val="21"/>
          <w:szCs w:val="21"/>
        </w:rPr>
        <w:t xml:space="preserve">Negotiated more than $6M in license discounts with CyberArk on a 3-year agreement, funding expansion into machine identity, secrets management and endpoint protection without new budget.</w:t>
      </w:r>
    </w:p>
    <w:p>
      <w:pPr>
        <w:pStyle w:val="ListParagraph"/>
        <w:numPr>
          <w:ilvl w:val="0"/>
          <w:numId w:val="2"/>
        </w:numPr>
        <w:spacing w:after="28"/>
        <w:jc w:val="both"/>
      </w:pPr>
      <w:r>
        <w:rPr>
          <w:sz w:val="21"/>
          <w:szCs w:val="21"/>
        </w:rPr>
        <w:t xml:space="preserve">Challenged inherited vendor designs and uncovered architecture gaps that would have made the implementation impossible, avoiding millions in change orders.</w:t>
      </w:r>
    </w:p>
    <w:p>
      <w:pPr>
        <w:pStyle w:val="ListParagraph"/>
        <w:numPr>
          <w:ilvl w:val="0"/>
          <w:numId w:val="2"/>
        </w:numPr>
        <w:spacing w:after="28"/>
        <w:jc w:val="both"/>
      </w:pPr>
      <w:r>
        <w:rPr>
          <w:sz w:val="21"/>
          <w:szCs w:val="21"/>
        </w:rPr>
        <w:t xml:space="preserve">Cut the CyberArk support SLA from 3 weeks to 4 days with a clear escalation path and a direct line to the account team. Maintain strong partnerships with CyberArk, SailPoint and CrowdStrike.</w:t>
      </w:r>
    </w:p>
    <w:p>
      <w:pPr>
        <w:spacing w:after="36" w:before="70"/>
      </w:pPr>
      <w:r>
        <w:rPr>
          <w:b/>
          <w:bCs/>
          <w:color w:val="333333"/>
          <w:sz w:val="21"/>
          <w:szCs w:val="21"/>
        </w:rPr>
        <w:t xml:space="preserve">Platform Delivery: Privileged Access</w:t>
      </w:r>
    </w:p>
    <w:p>
      <w:pPr>
        <w:pStyle w:val="ListParagraph"/>
        <w:numPr>
          <w:ilvl w:val="0"/>
          <w:numId w:val="2"/>
        </w:numPr>
        <w:spacing w:after="28"/>
        <w:jc w:val="both"/>
      </w:pPr>
      <w:r>
        <w:rPr>
          <w:sz w:val="21"/>
          <w:szCs w:val="21"/>
        </w:rPr>
        <w:t xml:space="preserve">Directed the full redeployment of the CyberArk SaaS platform and the migration of legacy connectors such as PSM to Secure Infrastructure Access, delivered with zero platform incidents in the last fiscal year and no downtime on any upgrade.</w:t>
      </w:r>
    </w:p>
    <w:p>
      <w:pPr>
        <w:pStyle w:val="ListParagraph"/>
        <w:numPr>
          <w:ilvl w:val="0"/>
          <w:numId w:val="2"/>
        </w:numPr>
        <w:spacing w:after="28"/>
        <w:jc w:val="both"/>
      </w:pPr>
      <w:r>
        <w:rPr>
          <w:sz w:val="21"/>
          <w:szCs w:val="21"/>
        </w:rPr>
        <w:t xml:space="preserve">Raised platform compliance from 27% to 96% and more than tripled the number of users connecting securely through the platform, with automated discovery and onboarding so new privileged accounts are enrolled into the vault with no manual effort.</w:t>
      </w:r>
    </w:p>
    <w:p>
      <w:pPr>
        <w:pStyle w:val="ListParagraph"/>
        <w:numPr>
          <w:ilvl w:val="0"/>
          <w:numId w:val="2"/>
        </w:numPr>
        <w:spacing w:after="28"/>
        <w:jc w:val="both"/>
      </w:pPr>
      <w:r>
        <w:rPr>
          <w:sz w:val="21"/>
          <w:szCs w:val="21"/>
        </w:rPr>
        <w:t xml:space="preserve">Reduced the privileged account risk rating from Critical to Medium and remediated more than 7,000 privileged accounts.</w:t>
      </w:r>
    </w:p>
    <w:p>
      <w:pPr>
        <w:pStyle w:val="ListParagraph"/>
        <w:numPr>
          <w:ilvl w:val="0"/>
          <w:numId w:val="2"/>
        </w:numPr>
        <w:spacing w:after="28"/>
        <w:jc w:val="both"/>
      </w:pPr>
      <w:r>
        <w:rPr>
          <w:sz w:val="21"/>
          <w:szCs w:val="21"/>
        </w:rPr>
        <w:t xml:space="preserve">Extended Just-in-Time access and Zero Standing Privilege to all Tier 0 and Tier 1 accounts across on-prem AD and Entra ID, securing more than 700 external and 500 internal users. Authored the enterprise Break Glass policy, and onboarded Venafi with automated certificate renewal workflows.</w:t>
      </w:r>
    </w:p>
    <w:p>
      <w:pPr>
        <w:spacing w:after="36" w:before="70"/>
      </w:pPr>
      <w:r>
        <w:rPr>
          <w:b/>
          <w:bCs/>
          <w:color w:val="333333"/>
          <w:sz w:val="21"/>
          <w:szCs w:val="21"/>
        </w:rPr>
        <w:t xml:space="preserve">Platform Delivery: Directory and Governance</w:t>
      </w:r>
    </w:p>
    <w:p>
      <w:pPr>
        <w:pStyle w:val="ListParagraph"/>
        <w:numPr>
          <w:ilvl w:val="0"/>
          <w:numId w:val="2"/>
        </w:numPr>
        <w:spacing w:after="28"/>
        <w:jc w:val="both"/>
      </w:pPr>
      <w:r>
        <w:rPr>
          <w:sz w:val="21"/>
          <w:szCs w:val="21"/>
        </w:rPr>
        <w:t xml:space="preserve">Delivered the multi-year Active Directory hardening program: disabled SMBv1, built hardening GPOs for service accounts, strengthened the password policy, wrote incident response playbooks, expanded audit logging and SIEM detections, and drove the decommission and upgrade of end-of-life systems.</w:t>
      </w:r>
    </w:p>
    <w:p>
      <w:pPr>
        <w:pStyle w:val="ListParagraph"/>
        <w:numPr>
          <w:ilvl w:val="0"/>
          <w:numId w:val="2"/>
        </w:numPr>
        <w:spacing w:after="28"/>
        <w:jc w:val="both"/>
      </w:pPr>
      <w:r>
        <w:rPr>
          <w:sz w:val="21"/>
          <w:szCs w:val="21"/>
        </w:rPr>
        <w:t xml:space="preserve">Rotated the DSRM and KRBTGT accounts, defined a repeatable rotation process, and stood up dedicated test domains on-prem and in the cloud so changes are proven before production.</w:t>
      </w:r>
    </w:p>
    <w:p>
      <w:pPr>
        <w:pStyle w:val="ListParagraph"/>
        <w:numPr>
          <w:ilvl w:val="0"/>
          <w:numId w:val="2"/>
        </w:numPr>
        <w:spacing w:after="28"/>
        <w:jc w:val="both"/>
      </w:pPr>
      <w:r>
        <w:rPr>
          <w:sz w:val="21"/>
          <w:szCs w:val="21"/>
        </w:rPr>
        <w:t xml:space="preserve">Migrated legacy RSA MFA to Microsoft MFA with phishing-resistant passkeys, enabled self-service password reset and rebuilt the Conditional Access policy set.</w:t>
      </w:r>
    </w:p>
    <w:p>
      <w:pPr>
        <w:pStyle w:val="ListParagraph"/>
        <w:numPr>
          <w:ilvl w:val="0"/>
          <w:numId w:val="2"/>
        </w:numPr>
        <w:spacing w:after="28"/>
        <w:jc w:val="both"/>
      </w:pPr>
      <w:r>
        <w:rPr>
          <w:sz w:val="21"/>
          <w:szCs w:val="21"/>
        </w:rPr>
        <w:t xml:space="preserve">Led the SailPoint IGA program from pre-implementation through delivery, designing the infrastructure and application integration architecture, including custom workflows for unsupported end-of-life systems, and re-engineered identity lifecycle events and the access review process with IAM Compliance.</w:t>
      </w:r>
    </w:p>
    <w:p>
      <w:pPr>
        <w:spacing w:after="36" w:before="70"/>
      </w:pPr>
      <w:r>
        <w:rPr>
          <w:b/>
          <w:bCs/>
          <w:color w:val="333333"/>
          <w:sz w:val="21"/>
          <w:szCs w:val="21"/>
        </w:rPr>
        <w:t xml:space="preserve">Automation and Engineering Efficiency</w:t>
      </w:r>
    </w:p>
    <w:p>
      <w:pPr>
        <w:pStyle w:val="ListParagraph"/>
        <w:numPr>
          <w:ilvl w:val="0"/>
          <w:numId w:val="2"/>
        </w:numPr>
        <w:spacing w:after="28"/>
        <w:jc w:val="both"/>
      </w:pPr>
      <w:r>
        <w:rPr>
          <w:sz w:val="21"/>
          <w:szCs w:val="21"/>
        </w:rPr>
        <w:t xml:space="preserve">Created the Azure Automation platform for the group and shipped more than 10 production automations, including HR-driven terminations, onboarding, movers, inactivity and expired account handling, removing more than 500 hours of manual work across teams.</w:t>
      </w:r>
    </w:p>
    <w:p>
      <w:pPr>
        <w:pStyle w:val="ListParagraph"/>
        <w:numPr>
          <w:ilvl w:val="0"/>
          <w:numId w:val="2"/>
        </w:numPr>
        <w:spacing w:after="28"/>
        <w:jc w:val="both"/>
      </w:pPr>
      <w:r>
        <w:rPr>
          <w:sz w:val="21"/>
          <w:szCs w:val="21"/>
        </w:rPr>
        <w:t xml:space="preserve">Automated onboarding and termination with custom PowerShell tooling, saving a further 200 hours and cutting a recurring source of human error.</w:t>
      </w:r>
    </w:p>
    <w:p>
      <w:pPr>
        <w:tabs>
          <w:tab w:val="right" w:pos="9026"/>
        </w:tabs>
        <w:spacing w:after="20" w:before="120"/>
      </w:pPr>
      <w:r>
        <w:rPr>
          <w:b/>
          <w:bCs/>
          <w:sz w:val="23"/>
          <w:szCs w:val="23"/>
        </w:rPr>
        <w:t xml:space="preserve">IAM Technical Lead Engineer</w:t>
      </w:r>
      <w:r>
        <w:rPr>
          <w:b/>
          <w:bCs/>
          <w:color w:val="595959"/>
          <w:sz w:val="21"/>
          <w:szCs w:val="21"/>
        </w:rPr>
        <w:t xml:space="preserve">	Apr. 2021 to Apr. 2024</w:t>
      </w:r>
    </w:p>
    <w:p>
      <w:pPr>
        <w:spacing w:after="50"/>
      </w:pPr>
      <w:r>
        <w:rPr>
          <w:i/>
          <w:iCs/>
          <w:color w:val="595959"/>
          <w:sz w:val="21"/>
          <w:szCs w:val="21"/>
        </w:rPr>
        <w:t xml:space="preserve">Aviva Canada, Toronto, ON (Remote)</w:t>
      </w:r>
    </w:p>
    <w:p>
      <w:pPr>
        <w:pStyle w:val="ListParagraph"/>
        <w:numPr>
          <w:ilvl w:val="0"/>
          <w:numId w:val="2"/>
        </w:numPr>
        <w:spacing w:after="28"/>
        <w:jc w:val="both"/>
      </w:pPr>
      <w:r>
        <w:rPr>
          <w:sz w:val="21"/>
          <w:szCs w:val="21"/>
        </w:rPr>
        <w:t xml:space="preserve">Technical lead for the IAM Operations and Engineering teams, setting technical direction and reviewing designs, and working with security leaders in Canada and the UK to shape strategy aligned to Microsoft and industry best practice.</w:t>
      </w:r>
    </w:p>
    <w:p>
      <w:pPr>
        <w:pStyle w:val="ListParagraph"/>
        <w:numPr>
          <w:ilvl w:val="0"/>
          <w:numId w:val="2"/>
        </w:numPr>
        <w:spacing w:after="28"/>
        <w:jc w:val="both"/>
      </w:pPr>
      <w:r>
        <w:rPr>
          <w:sz w:val="21"/>
          <w:szCs w:val="21"/>
        </w:rPr>
        <w:t xml:space="preserve">Technical expert leading the IAM transformation program to implement a new IGA platform (SailPoint).</w:t>
      </w:r>
    </w:p>
    <w:p>
      <w:pPr>
        <w:pStyle w:val="ListParagraph"/>
        <w:numPr>
          <w:ilvl w:val="0"/>
          <w:numId w:val="2"/>
        </w:numPr>
        <w:spacing w:after="28"/>
        <w:jc w:val="both"/>
      </w:pPr>
      <w:r>
        <w:rPr>
          <w:sz w:val="21"/>
          <w:szCs w:val="21"/>
        </w:rPr>
        <w:t xml:space="preserve">Led automation projects integrating the ticketing system, Workday and email into end to end provisioning workflows, and built a native PowerShell automation tool used across functions.</w:t>
      </w:r>
    </w:p>
    <w:p>
      <w:pPr>
        <w:pStyle w:val="ListParagraph"/>
        <w:numPr>
          <w:ilvl w:val="0"/>
          <w:numId w:val="2"/>
        </w:numPr>
        <w:spacing w:after="28"/>
        <w:jc w:val="both"/>
      </w:pPr>
      <w:r>
        <w:rPr>
          <w:sz w:val="21"/>
          <w:szCs w:val="21"/>
        </w:rPr>
        <w:t xml:space="preserve">SME for the AD migration, Azure AD MFA and SSPR, the PIM rollout, company-wide M365 deployments, and CyberArk and BeyondTrust implementation, configuration and upgrades.</w:t>
      </w:r>
    </w:p>
    <w:p>
      <w:pPr>
        <w:pStyle w:val="ListParagraph"/>
        <w:numPr>
          <w:ilvl w:val="0"/>
          <w:numId w:val="2"/>
        </w:numPr>
        <w:spacing w:after="28"/>
        <w:jc w:val="both"/>
      </w:pPr>
      <w:r>
        <w:rPr>
          <w:sz w:val="21"/>
          <w:szCs w:val="21"/>
        </w:rPr>
        <w:t xml:space="preserve">Applied AD tiering to privileged user objects following Microsoft guidance, produced the action plan for deploying CrowdStrike across the server estate, and delivered training for Operations and Engineering on PowerShell, Exchange Online and Azure AD.</w:t>
      </w:r>
    </w:p>
    <w:p>
      <w:pPr>
        <w:pStyle w:val="ListParagraph"/>
        <w:numPr>
          <w:ilvl w:val="0"/>
          <w:numId w:val="2"/>
        </w:numPr>
        <w:spacing w:after="28"/>
        <w:jc w:val="both"/>
      </w:pPr>
      <w:r>
        <w:rPr>
          <w:sz w:val="21"/>
          <w:szCs w:val="21"/>
        </w:rPr>
        <w:t xml:space="preserve">Awarded Employee of the Year and Hackathon winner.</w:t>
      </w:r>
    </w:p>
    <w:p>
      <w:pPr>
        <w:tabs>
          <w:tab w:val="right" w:pos="9026"/>
        </w:tabs>
        <w:spacing w:after="20" w:before="120"/>
      </w:pPr>
      <w:r>
        <w:rPr>
          <w:b/>
          <w:bCs/>
          <w:sz w:val="23"/>
          <w:szCs w:val="23"/>
        </w:rPr>
        <w:t xml:space="preserve">Security Architect</w:t>
      </w:r>
      <w:r>
        <w:rPr>
          <w:b/>
          <w:bCs/>
          <w:color w:val="595959"/>
          <w:sz w:val="21"/>
          <w:szCs w:val="21"/>
        </w:rPr>
        <w:t xml:space="preserve">	Sept. 2019 to Apr. 2021</w:t>
      </w:r>
    </w:p>
    <w:p>
      <w:pPr>
        <w:spacing w:after="50"/>
      </w:pPr>
      <w:r>
        <w:rPr>
          <w:i/>
          <w:iCs/>
          <w:color w:val="595959"/>
          <w:sz w:val="21"/>
          <w:szCs w:val="21"/>
        </w:rPr>
        <w:t xml:space="preserve">Stikeman Elliott LLP, Toronto, ON (Hybrid)</w:t>
      </w:r>
    </w:p>
    <w:p>
      <w:pPr>
        <w:pStyle w:val="ListParagraph"/>
        <w:numPr>
          <w:ilvl w:val="0"/>
          <w:numId w:val="2"/>
        </w:numPr>
        <w:spacing w:after="28"/>
        <w:jc w:val="both"/>
      </w:pPr>
      <w:r>
        <w:rPr>
          <w:sz w:val="21"/>
          <w:szCs w:val="21"/>
        </w:rPr>
        <w:t xml:space="preserve">Implemented Privileged Identity Management, significantly improving the organisation's security score.</w:t>
      </w:r>
    </w:p>
    <w:p>
      <w:pPr>
        <w:pStyle w:val="ListParagraph"/>
        <w:numPr>
          <w:ilvl w:val="0"/>
          <w:numId w:val="2"/>
        </w:numPr>
        <w:spacing w:after="28"/>
        <w:jc w:val="both"/>
      </w:pPr>
      <w:r>
        <w:rPr>
          <w:sz w:val="21"/>
          <w:szCs w:val="21"/>
        </w:rPr>
        <w:t xml:space="preserve">Led the implementation and management of critical security systems including network access control (FortiNAC), password management (PMP), next-gen antivirus (CrowdStrike) and Defender ATP.</w:t>
      </w:r>
    </w:p>
    <w:p>
      <w:pPr>
        <w:pStyle w:val="ListParagraph"/>
        <w:numPr>
          <w:ilvl w:val="0"/>
          <w:numId w:val="2"/>
        </w:numPr>
        <w:spacing w:after="28"/>
        <w:jc w:val="both"/>
      </w:pPr>
      <w:r>
        <w:rPr>
          <w:sz w:val="21"/>
          <w:szCs w:val="21"/>
        </w:rPr>
        <w:t xml:space="preserve">Wrote the SecOps playbook that enabled rapid, repeatable incident response, and customized SIEM alerting to shorten detection time.</w:t>
      </w:r>
    </w:p>
    <w:p>
      <w:pPr>
        <w:pStyle w:val="ListParagraph"/>
        <w:numPr>
          <w:ilvl w:val="0"/>
          <w:numId w:val="2"/>
        </w:numPr>
        <w:spacing w:after="28"/>
        <w:jc w:val="both"/>
      </w:pPr>
      <w:r>
        <w:rPr>
          <w:sz w:val="21"/>
          <w:szCs w:val="21"/>
        </w:rPr>
        <w:t xml:space="preserve">Led infrastructure projects including mail flow migration, datacenter migration, backup and onboarding automation, and managed Azure application integrations such as single sign-on, auto-provisioning and Conditional Access.</w:t>
      </w:r>
    </w:p>
    <w:p>
      <w:pPr>
        <w:pStyle w:val="ListParagraph"/>
        <w:numPr>
          <w:ilvl w:val="0"/>
          <w:numId w:val="2"/>
        </w:numPr>
        <w:spacing w:after="28"/>
        <w:jc w:val="both"/>
      </w:pPr>
      <w:r>
        <w:rPr>
          <w:sz w:val="21"/>
          <w:szCs w:val="21"/>
        </w:rPr>
        <w:t xml:space="preserve">Ran periodic phishing exercises and reported to the CISO, and worked with auditors from Deloitte and major banks and with external penetration testers to evidence and improve the control set.</w:t>
      </w:r>
    </w:p>
    <w:p>
      <w:pPr>
        <w:tabs>
          <w:tab w:val="right" w:pos="9026"/>
        </w:tabs>
        <w:spacing w:after="20" w:before="120"/>
      </w:pPr>
      <w:r>
        <w:rPr>
          <w:b/>
          <w:bCs/>
          <w:sz w:val="23"/>
          <w:szCs w:val="23"/>
        </w:rPr>
        <w:t xml:space="preserve">Access Management Analyst</w:t>
      </w:r>
      <w:r>
        <w:rPr>
          <w:b/>
          <w:bCs/>
          <w:color w:val="595959"/>
          <w:sz w:val="21"/>
          <w:szCs w:val="21"/>
        </w:rPr>
        <w:t xml:space="preserve">	Mar. 2018 to Sept. 2019</w:t>
      </w:r>
    </w:p>
    <w:p>
      <w:pPr>
        <w:spacing w:after="50"/>
      </w:pPr>
      <w:r>
        <w:rPr>
          <w:i/>
          <w:iCs/>
          <w:color w:val="595959"/>
          <w:sz w:val="21"/>
          <w:szCs w:val="21"/>
        </w:rPr>
        <w:t xml:space="preserve">Aviva Canada, Markham and Toronto, ON</w:t>
      </w:r>
    </w:p>
    <w:p>
      <w:pPr>
        <w:pStyle w:val="ListParagraph"/>
        <w:numPr>
          <w:ilvl w:val="0"/>
          <w:numId w:val="2"/>
        </w:numPr>
        <w:spacing w:after="28"/>
        <w:jc w:val="both"/>
      </w:pPr>
      <w:r>
        <w:rPr>
          <w:sz w:val="21"/>
          <w:szCs w:val="21"/>
        </w:rPr>
        <w:t xml:space="preserve">Managed a complex Active Directory structure with more than 5,000 users, working with IT Information Security to monitor access levels and produce daily reporting.</w:t>
      </w:r>
    </w:p>
    <w:p>
      <w:pPr>
        <w:pStyle w:val="ListParagraph"/>
        <w:numPr>
          <w:ilvl w:val="0"/>
          <w:numId w:val="2"/>
        </w:numPr>
        <w:spacing w:after="28"/>
        <w:jc w:val="both"/>
      </w:pPr>
      <w:r>
        <w:rPr>
          <w:sz w:val="21"/>
          <w:szCs w:val="21"/>
        </w:rPr>
        <w:t xml:space="preserve">Wrote automation that cut time spent on Active Directory account creation, deletion, edits and reporting by an average of 95%, built tooling adopted by multiple departments, and produced the knowledge-base articles the team still uses.</w:t>
      </w:r>
    </w:p>
    <w:p>
      <w:pPr>
        <w:pBdr>
          <w:bottom w:val="single" w:color="1F3864" w:sz="8" w:space="2"/>
        </w:pBdr>
        <w:spacing w:after="50" w:before="100"/>
      </w:pPr>
      <w:r>
        <w:rPr>
          <w:b/>
          <w:bCs/>
          <w:color w:val="1F3864"/>
          <w:sz w:val="24"/>
          <w:szCs w:val="24"/>
        </w:rPr>
        <w:t xml:space="preserve">ENGINEERING AND INNOVATION PORTFOLIO</w:t>
      </w:r>
    </w:p>
    <w:p>
      <w:pPr>
        <w:spacing w:after="60"/>
      </w:pPr>
      <w:r>
        <w:rPr>
          <w:i/>
          <w:iCs/>
          <w:color w:val="595959"/>
          <w:sz w:val="21"/>
          <w:szCs w:val="21"/>
        </w:rPr>
        <w:t xml:space="preserve">Founder of DNA Technology. Designed, architected, secured and coded end to end, outside work hours.</w:t>
      </w:r>
    </w:p>
    <w:p>
      <w:pPr>
        <w:spacing w:after="20" w:before="90"/>
      </w:pPr>
      <w:r>
        <w:rPr>
          <w:b/>
          <w:bCs/>
          <w:sz w:val="22"/>
          <w:szCs w:val="22"/>
        </w:rPr>
        <w:t xml:space="preserve">Identity at the Core</w:t>
      </w:r>
      <w:r>
        <w:rPr>
          <w:color w:val="595959"/>
          <w:sz w:val="21"/>
          <w:szCs w:val="21"/>
        </w:rPr>
        <w:t xml:space="preserve">  |  </w:t>
      </w:r>
      <w:hyperlink w:history="1" r:id="rIdLink4">
        <w:r>
          <w:rPr>
            <w:color w:val="1F3864"/>
            <w:sz w:val="21"/>
            <w:szCs w:val="21"/>
            <w:u w:val="single"/>
          </w:rPr>
          <w:t xml:space="preserve">identityatcore.org</w:t>
        </w:r>
      </w:hyperlink>
      <w:r>
        <w:rPr>
          <w:color w:val="595959"/>
          <w:sz w:val="21"/>
          <w:szCs w:val="21"/>
        </w:rPr>
        <w:t xml:space="preserve">  |  Live</w:t>
      </w:r>
    </w:p>
    <w:p>
      <w:pPr>
        <w:spacing w:after="20"/>
        <w:jc w:val="both"/>
      </w:pPr>
      <w:r>
        <w:rPr>
          <w:sz w:val="21"/>
          <w:szCs w:val="21"/>
        </w:rPr>
        <w:t xml:space="preserve">A publication and community platform for the identity industry, with articles, guest authors, a partner program and a member portal. Built on Next.js 16, TypeScript, Auth.js v5, Prisma and Postgres.</w:t>
      </w:r>
    </w:p>
    <w:p>
      <w:pPr>
        <w:pStyle w:val="ListParagraph"/>
        <w:numPr>
          <w:ilvl w:val="0"/>
          <w:numId w:val="2"/>
        </w:numPr>
        <w:spacing w:after="30"/>
        <w:jc w:val="both"/>
      </w:pPr>
      <w:r>
        <w:rPr>
          <w:sz w:val="21"/>
          <w:szCs w:val="21"/>
        </w:rPr>
        <w:t xml:space="preserve">Passwordless by default: WebAuthn passkeys and magic links, with OAuth fallback and Argon2id hashing.</w:t>
      </w:r>
    </w:p>
    <w:p>
      <w:pPr>
        <w:pStyle w:val="ListParagraph"/>
        <w:numPr>
          <w:ilvl w:val="0"/>
          <w:numId w:val="2"/>
        </w:numPr>
        <w:spacing w:after="30"/>
        <w:jc w:val="both"/>
      </w:pPr>
      <w:r>
        <w:rPr>
          <w:sz w:val="21"/>
          <w:szCs w:val="21"/>
        </w:rPr>
        <w:t xml:space="preserve">Strict nonce-based Content-Security-Policy with strict-dynamic, HSTS preload, COOP and CORP, distributed rate limiting, RFC 9116 security.txt and a published disclosure policy.</w:t>
      </w:r>
    </w:p>
    <w:p>
      <w:pPr>
        <w:spacing w:after="20" w:before="90"/>
      </w:pPr>
      <w:r>
        <w:rPr>
          <w:b/>
          <w:bCs/>
          <w:sz w:val="22"/>
          <w:szCs w:val="22"/>
        </w:rPr>
        <w:t xml:space="preserve">IAM X-ray and Automation</w:t>
      </w:r>
      <w:r>
        <w:rPr>
          <w:color w:val="595959"/>
          <w:sz w:val="21"/>
          <w:szCs w:val="21"/>
        </w:rPr>
        <w:t xml:space="preserve">  |  </w:t>
      </w:r>
      <w:hyperlink w:history="1" r:id="rIdLink5">
        <w:r>
          <w:rPr>
            <w:color w:val="1F3864"/>
            <w:sz w:val="21"/>
            <w:szCs w:val="21"/>
            <w:u w:val="single"/>
          </w:rPr>
          <w:t xml:space="preserve">iam-x-ray-automation.web.app</w:t>
        </w:r>
      </w:hyperlink>
      <w:r>
        <w:rPr>
          <w:color w:val="595959"/>
          <w:sz w:val="21"/>
          <w:szCs w:val="21"/>
        </w:rPr>
        <w:t xml:space="preserve">  |  Pre-alpha</w:t>
      </w:r>
    </w:p>
    <w:p>
      <w:pPr>
        <w:spacing w:after="20"/>
        <w:jc w:val="both"/>
      </w:pPr>
      <w:r>
        <w:rPr>
          <w:sz w:val="21"/>
          <w:szCs w:val="21"/>
        </w:rPr>
        <w:t xml:space="preserve">An identity auditing platform that discovers and reports identity vulnerabilities across Active Directory, with Entra ID, Okta and Ping on the roadmap. Read-only by default. Python 3.12, Pydantic v2, ldap3, plugin architecture.</w:t>
      </w:r>
    </w:p>
    <w:p>
      <w:pPr>
        <w:pStyle w:val="ListParagraph"/>
        <w:numPr>
          <w:ilvl w:val="0"/>
          <w:numId w:val="2"/>
        </w:numPr>
        <w:spacing w:after="30"/>
        <w:jc w:val="both"/>
      </w:pPr>
      <w:r>
        <w:rPr>
          <w:sz w:val="21"/>
          <w:szCs w:val="21"/>
        </w:rPr>
        <w:t xml:space="preserve">Connector abstraction lets the same scanners run live over LDAPS or offline against a snapshot, so an audit never needs write access. Credentials are held only in the OS keystore, DPAPI or Vault.</w:t>
      </w:r>
    </w:p>
    <w:p>
      <w:pPr>
        <w:pStyle w:val="ListParagraph"/>
        <w:numPr>
          <w:ilvl w:val="0"/>
          <w:numId w:val="2"/>
        </w:numPr>
        <w:spacing w:after="30"/>
        <w:jc w:val="both"/>
      </w:pPr>
      <w:r>
        <w:rPr>
          <w:sz w:val="21"/>
          <w:szCs w:val="21"/>
        </w:rPr>
        <w:t xml:space="preserve">A single Finding evidence model feeds the HTML, xlsx, CSV and PDF renderers, so every report tells the same story.</w:t>
      </w:r>
    </w:p>
    <w:p>
      <w:pPr>
        <w:spacing w:after="20" w:before="90"/>
      </w:pPr>
      <w:r>
        <w:rPr>
          <w:b/>
          <w:bCs/>
          <w:sz w:val="22"/>
          <w:szCs w:val="22"/>
        </w:rPr>
        <w:t xml:space="preserve">Certificate Risk and Post-Quantum Readiness toolkit</w:t>
      </w:r>
      <w:r>
        <w:rPr>
          <w:color w:val="595959"/>
          <w:sz w:val="21"/>
          <w:szCs w:val="21"/>
        </w:rPr>
        <w:t xml:space="preserve">  |  In use</w:t>
      </w:r>
    </w:p>
    <w:p>
      <w:pPr>
        <w:spacing w:after="20"/>
        <w:jc w:val="both"/>
      </w:pPr>
      <w:r>
        <w:rPr>
          <w:sz w:val="21"/>
          <w:szCs w:val="21"/>
        </w:rPr>
        <w:t xml:space="preserve">Ingests any Venafi TLS discovery export, scores every certificate Critical to Low, explains each risk in executive language with a remediation path, and tiers the estate for post-quantum migration against NIST IR 8547. Outputs an interactive dashboard, an executive PDF and a scored inventory.</w:t>
      </w:r>
    </w:p>
    <w:p>
      <w:pPr>
        <w:pStyle w:val="ListParagraph"/>
        <w:numPr>
          <w:ilvl w:val="0"/>
          <w:numId w:val="2"/>
        </w:numPr>
        <w:spacing w:after="30"/>
        <w:jc w:val="both"/>
      </w:pPr>
      <w:r>
        <w:rPr>
          <w:sz w:val="21"/>
          <w:szCs w:val="21"/>
        </w:rPr>
        <w:t xml:space="preserve">Shipped a browser-only build for locked-down workplaces where Python is blocked. The CSV never leaves the machine, and a parity harness runs the same export through both engines and fails the build if any count differs.</w:t>
      </w:r>
    </w:p>
    <w:p>
      <w:pPr>
        <w:pStyle w:val="ListParagraph"/>
        <w:numPr>
          <w:ilvl w:val="0"/>
          <w:numId w:val="2"/>
        </w:numPr>
        <w:spacing w:after="30"/>
        <w:jc w:val="both"/>
      </w:pPr>
      <w:r>
        <w:rPr>
          <w:sz w:val="21"/>
          <w:szCs w:val="21"/>
        </w:rPr>
        <w:t xml:space="preserve">A tracker diffs successive scans on fingerprint, so remediation has a scoreboard: what was fixed, what got worse, what is newly expired. 14 scenario self-tests ship with the tool.</w:t>
      </w:r>
    </w:p>
    <w:p>
      <w:pPr>
        <w:spacing w:after="20" w:before="90"/>
      </w:pPr>
      <w:r>
        <w:rPr>
          <w:b/>
          <w:bCs/>
          <w:sz w:val="22"/>
          <w:szCs w:val="22"/>
        </w:rPr>
        <w:t xml:space="preserve">RACI Studio</w:t>
      </w:r>
      <w:r>
        <w:rPr>
          <w:color w:val="595959"/>
          <w:sz w:val="21"/>
          <w:szCs w:val="21"/>
        </w:rPr>
        <w:t xml:space="preserve">  |  In use</w:t>
      </w:r>
    </w:p>
    <w:p>
      <w:pPr>
        <w:spacing w:after="20"/>
        <w:jc w:val="both"/>
      </w:pPr>
      <w:r>
        <w:rPr>
          <w:sz w:val="21"/>
          <w:szCs w:val="21"/>
        </w:rPr>
        <w:t xml:space="preserve">Turns programme governance into something people will actually read. Generates a branded RACI workbook for a system, its pillars and its teams, then converts the filled workbook into an interactive wheel explorer whose entire palette comes from a Config tab, not from code.</w:t>
      </w:r>
    </w:p>
    <w:p>
      <w:pPr>
        <w:pStyle w:val="ListParagraph"/>
        <w:numPr>
          <w:ilvl w:val="0"/>
          <w:numId w:val="2"/>
        </w:numPr>
        <w:spacing w:after="30"/>
        <w:jc w:val="both"/>
      </w:pPr>
      <w:r>
        <w:rPr>
          <w:sz w:val="21"/>
          <w:szCs w:val="21"/>
        </w:rPr>
        <w:t xml:space="preserve">Three ways to run one engine: a single-file browser app that uploads nothing, a local web app, and a one-click build to a standalone Windows executable for users without Python.</w:t>
      </w:r>
    </w:p>
    <w:p>
      <w:pPr>
        <w:pStyle w:val="ListParagraph"/>
        <w:numPr>
          <w:ilvl w:val="0"/>
          <w:numId w:val="2"/>
        </w:numPr>
        <w:spacing w:after="30"/>
        <w:jc w:val="both"/>
      </w:pPr>
      <w:r>
        <w:rPr>
          <w:sz w:val="21"/>
          <w:szCs w:val="21"/>
        </w:rPr>
        <w:t xml:space="preserve">Both paths read one schema and render one tokenized template, so the two outputs cannot drift apart.</w:t>
      </w:r>
    </w:p>
    <w:p>
      <w:pPr>
        <w:pBdr>
          <w:bottom w:val="single" w:color="1F3864" w:sz="8" w:space="2"/>
        </w:pBdr>
        <w:spacing w:after="44" w:before="70"/>
      </w:pPr>
      <w:r>
        <w:rPr>
          <w:b/>
          <w:bCs/>
          <w:color w:val="1F3864"/>
          <w:sz w:val="24"/>
          <w:szCs w:val="24"/>
        </w:rPr>
        <w:t xml:space="preserve">EDUCATION</w:t>
      </w:r>
    </w:p>
    <w:p>
      <w:pPr>
        <w:tabs>
          <w:tab w:val="right" w:pos="9026"/>
        </w:tabs>
        <w:spacing w:after="16"/>
      </w:pPr>
      <w:r>
        <w:rPr>
          <w:sz w:val="22"/>
          <w:szCs w:val="22"/>
        </w:rPr>
        <w:t xml:space="preserve">Hanson Cambrian College, Toronto, IT, Mobile Application Development</w:t>
      </w:r>
      <w:r>
        <w:rPr>
          <w:color w:val="595959"/>
          <w:sz w:val="21"/>
          <w:szCs w:val="21"/>
        </w:rPr>
        <w:t xml:space="preserve">	Sept. 2017 to Dec. 2018</w:t>
      </w:r>
    </w:p>
    <w:p>
      <w:pPr>
        <w:tabs>
          <w:tab w:val="right" w:pos="9026"/>
        </w:tabs>
        <w:spacing w:after="16"/>
      </w:pPr>
      <w:r>
        <w:rPr>
          <w:sz w:val="22"/>
          <w:szCs w:val="22"/>
        </w:rPr>
        <w:t xml:space="preserve">IBT College, Toronto, IT, Network Administrator</w:t>
      </w:r>
      <w:r>
        <w:rPr>
          <w:color w:val="595959"/>
          <w:sz w:val="21"/>
          <w:szCs w:val="21"/>
        </w:rPr>
        <w:t xml:space="preserve">	Nov. 2015 to Nov. 2016</w:t>
      </w:r>
    </w:p>
    <w:p>
      <w:pPr>
        <w:tabs>
          <w:tab w:val="right" w:pos="9026"/>
        </w:tabs>
        <w:spacing w:after="16"/>
      </w:pPr>
      <w:r>
        <w:rPr>
          <w:sz w:val="22"/>
          <w:szCs w:val="22"/>
        </w:rPr>
        <w:t xml:space="preserve">Mackenzie Presbyterian University, São Paulo, Bachelor of Sciences</w:t>
      </w:r>
      <w:r>
        <w:rPr>
          <w:color w:val="595959"/>
          <w:sz w:val="21"/>
          <w:szCs w:val="21"/>
        </w:rPr>
        <w:t xml:space="preserve">	July 2007 to June 2012</w:t>
      </w:r>
    </w:p>
    <w:sectPr>
      <w:pgSz w:w="12240" w:h="15840" w:orient="portrait"/>
      <w:pgMar w:top="720" w:right="864" w:bottom="50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2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0" Type="http://schemas.openxmlformats.org/officeDocument/2006/relationships/fontTable" Target="fontTable.xml"/><Relationship Id="rIdLink1" Type="http://schemas.openxmlformats.org/officeDocument/2006/relationships/hyperlink" Target="https://paulovaladares.web.app" TargetMode="External"/><Relationship Id="rIdLink2" Type="http://schemas.openxmlformats.org/officeDocument/2006/relationships/hyperlink" Target="https://dnatechnology.ca" TargetMode="External"/><Relationship Id="rIdLink3" Type="http://schemas.openxmlformats.org/officeDocument/2006/relationships/hyperlink" Target="https://identityatcore.org" TargetMode="External"/><Relationship Id="rIdLink4" Type="http://schemas.openxmlformats.org/officeDocument/2006/relationships/hyperlink" Target="https://identityatcore.org" TargetMode="External"/><Relationship Id="rIdLink5" Type="http://schemas.openxmlformats.org/officeDocument/2006/relationships/hyperlink" Target="https://iam-x-ray-automation.web.app/" TargetMode="Externa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2026-07-09T06:18:18.719Z</dcterms:created>
  <dcterms:modified xsi:type="dcterms:W3CDTF">2026-07-09T06:18:18.719Z</dcterms:modified>
</cp:coreProperties>
</file>

<file path=docProps/custom.xml><?xml version="1.0" encoding="utf-8"?>
<Properties xmlns="http://schemas.openxmlformats.org/officeDocument/2006/custom-properties" xmlns:vt="http://schemas.openxmlformats.org/officeDocument/2006/docPropsVTypes"/>
</file>